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1"/>
        <w:shd w:val="clear" w:color="auto" w:fill="auto"/>
        <w:spacing w:before="0" w:after="207"/>
        <w:jc w:val="center"/>
        <w:rPr/>
      </w:pPr>
      <w:r>
        <w:rPr/>
      </w:r>
    </w:p>
    <w:p>
      <w:pPr>
        <w:pStyle w:val="Bodytext21"/>
        <w:shd w:val="clear" w:color="auto" w:fill="auto"/>
        <w:spacing w:before="0" w:after="0"/>
        <w:ind w:left="180" w:firstLine="460"/>
        <w:rPr/>
      </w:pPr>
      <w:r>
        <w:rPr/>
        <w:t>Предпринимателям малого и среднего бизнеса можно получить микрозайм</w:t>
      </w:r>
    </w:p>
    <w:p>
      <w:pPr>
        <w:pStyle w:val="Bodytext21"/>
        <w:shd w:val="clear" w:color="auto" w:fill="auto"/>
        <w:spacing w:before="0" w:after="0"/>
        <w:ind w:left="180" w:firstLine="460"/>
        <w:rPr/>
      </w:pPr>
      <w:r>
        <w:rPr/>
      </w:r>
    </w:p>
    <w:p>
      <w:pPr>
        <w:pStyle w:val="Bodytext21"/>
        <w:shd w:val="clear" w:color="auto" w:fill="auto"/>
        <w:spacing w:before="0" w:after="0"/>
        <w:ind w:left="180" w:firstLine="460"/>
        <w:rPr>
          <w:sz w:val="19"/>
          <w:szCs w:val="19"/>
        </w:rPr>
      </w:pPr>
      <w:r>
        <w:rPr>
          <w:sz w:val="19"/>
          <w:szCs w:val="19"/>
        </w:rPr>
        <w:t>В рамках реализации региональной составляющей «Расширение доступа субъектам МСП к финансовой поддержке, в том числе к льготному финансированию» национального проекта «Малое и среднее предпринимательство и поддержка индивидуальной предпринимательской инициативы» Министерство экономического. развития Тверской области (далее Министерство), сообщает следующую информацию о ключевых направлениях по финансово-кредитным видам поддержки субъектов малого и среднего предпринимательства (далее — субъекты МСП).</w:t>
      </w:r>
    </w:p>
    <w:p>
      <w:pPr>
        <w:pStyle w:val="Bodytext21"/>
        <w:shd w:val="clear" w:color="auto" w:fill="auto"/>
        <w:spacing w:before="0" w:after="0"/>
        <w:ind w:left="180" w:firstLine="460"/>
        <w:rPr>
          <w:sz w:val="19"/>
          <w:szCs w:val="19"/>
        </w:rPr>
      </w:pPr>
      <w:r>
        <w:rPr>
          <w:sz w:val="19"/>
          <w:szCs w:val="19"/>
        </w:rPr>
        <w:t>1. Предоставление микрозаймов и поручительств на льготных условиях Фондом, содействия кредитованию малого и среднего предпринимательства Тверской области (далее Фонд)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Федерации»:</w:t>
      </w:r>
    </w:p>
    <w:p>
      <w:pPr>
        <w:pStyle w:val="Bodytext21"/>
        <w:shd w:val="clear" w:color="auto" w:fill="auto"/>
        <w:tabs>
          <w:tab w:val="left" w:pos="912" w:leader="none"/>
        </w:tabs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 xml:space="preserve">1) предоставление микрозаймов на льготных условиях. </w:t>
      </w:r>
    </w:p>
    <w:p>
      <w:pPr>
        <w:pStyle w:val="Bodytext21"/>
        <w:shd w:val="clear" w:color="auto" w:fill="auto"/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Цели предоставления займа — приобретение основных средств, иные цели инвестиционного характера, пополнение оборотных средств.</w:t>
      </w:r>
    </w:p>
    <w:p>
      <w:pPr>
        <w:pStyle w:val="Bodytext21"/>
        <w:shd w:val="clear" w:color="auto" w:fill="auto"/>
        <w:tabs>
          <w:tab w:val="left" w:pos="5019" w:leader="dot"/>
          <w:tab w:val="left" w:pos="5163" w:leader="dot"/>
        </w:tabs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Максимальная сумма займа составляет 5 млн. рублей.</w:t>
      </w:r>
    </w:p>
    <w:p>
      <w:pPr>
        <w:pStyle w:val="Bodytext21"/>
        <w:shd w:val="clear" w:color="auto" w:fill="auto"/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Ставки по займам составляют от 6% до 7,5 % годовых (для субъектов МСП в зависимости от вида экономической Деятельности), 4 % годовых (для вновь зарегистрированных субъектов МСП, срок деятельности которых не превышает год) и 2 % годовых (субъектам МСП осу</w:t>
      </w:r>
      <w:r>
        <w:rPr>
          <w:rStyle w:val="Bodytext2Georgia8pt"/>
          <w:rFonts w:cs="Times New Roman"/>
          <w:sz w:val="19"/>
          <w:szCs w:val="19"/>
        </w:rPr>
        <w:t>ще</w:t>
      </w:r>
      <w:r>
        <w:rPr>
          <w:sz w:val="19"/>
          <w:szCs w:val="19"/>
        </w:rPr>
        <w:t>ствляющим свою деятельность на территории моногородов Тверской области).</w:t>
      </w:r>
    </w:p>
    <w:p>
      <w:pPr>
        <w:pStyle w:val="Bodytext21"/>
        <w:shd w:val="clear" w:color="auto" w:fill="auto"/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2) предоставление поручительств.</w:t>
      </w:r>
    </w:p>
    <w:p>
      <w:pPr>
        <w:pStyle w:val="Bodytext21"/>
        <w:shd w:val="clear" w:color="auto" w:fill="auto"/>
        <w:tabs>
          <w:tab w:val="left" w:pos="5019" w:leader="none"/>
        </w:tabs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Размер поручительства Фонда составляет:</w:t>
        <w:tab/>
      </w:r>
      <w:r>
        <w:rPr>
          <w:sz w:val="19"/>
          <w:szCs w:val="19"/>
          <w:vertAlign w:val="subscript"/>
        </w:rPr>
        <w:t>?</w:t>
      </w:r>
    </w:p>
    <w:p>
      <w:pPr>
        <w:pStyle w:val="Bodytext21"/>
        <w:shd w:val="clear" w:color="auto" w:fill="auto"/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- до 70% от суммы кредита для производственных, научно-технических, инновационных предприятий, при этом максимальный размер поручительства в отношении одного заемщика не может превышать 25 млн. рублей;</w:t>
      </w:r>
    </w:p>
    <w:p>
      <w:pPr>
        <w:pStyle w:val="Bodytext21"/>
        <w:shd w:val="clear" w:color="auto" w:fill="auto"/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- до 50% от суммы кредита для предприятий сферы услуг, торговых предприятий и предприятий прочих видов деятельности, при этом максимальный размер поручительства в отношении одного заемщика не может превышать 20 млн. рублей.</w:t>
      </w:r>
    </w:p>
    <w:p>
      <w:pPr>
        <w:pStyle w:val="Bodytext21"/>
        <w:shd w:val="clear" w:color="auto" w:fill="auto"/>
        <w:spacing w:before="0" w:after="0"/>
        <w:ind w:left="284" w:firstLine="460"/>
        <w:rPr>
          <w:sz w:val="19"/>
          <w:szCs w:val="19"/>
        </w:rPr>
      </w:pPr>
      <w:r>
        <w:rPr>
          <w:sz w:val="19"/>
          <w:szCs w:val="19"/>
        </w:rPr>
        <w:t>Часть кредита, не обеспеченная поручительством Фонда, должна быть обеспечена залогом имущества заемщика.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 xml:space="preserve">Подробнее с программами Фонда можно ознакомиться на сайте </w:t>
      </w:r>
      <w:r>
        <w:rPr>
          <w:rFonts w:cs="Times New Roman"/>
          <w:szCs w:val="19"/>
          <w:lang w:val="en-US"/>
        </w:rPr>
        <w:t>http</w:t>
      </w:r>
      <w:r>
        <w:rPr>
          <w:rFonts w:cs="Times New Roman"/>
          <w:szCs w:val="19"/>
        </w:rPr>
        <w:t>://</w:t>
      </w:r>
      <w:r>
        <w:rPr>
          <w:rFonts w:cs="Times New Roman"/>
          <w:szCs w:val="19"/>
          <w:lang w:val="en-US"/>
        </w:rPr>
        <w:t>fondtver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ru</w:t>
      </w:r>
      <w:r>
        <w:rPr>
          <w:rFonts w:cs="Times New Roman"/>
          <w:szCs w:val="19"/>
        </w:rPr>
        <w:t>/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2. Программа стимулирования кредитования субъектов МСП (далее - Программа) реализовывается АО «Корпорация «МСП» совместно с Минэкономразвития России и Банком России.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Программа направлена на расширение доступного кредитования субъектов МСП во всех субъектах Российской Федерации, реализующих проекты в приоритетных отраслях, которая фиксирует процентную ставку по кредитам в сумме не менее 3 млн. рублей для предприятий, реализующих проекты в приоритетных отраслях экономики, на уровне до 9,6% годовых, в иных отраслях - до 10,б% годовых. Размер кредита: от 3 млн рублей до 1 млрд рублей.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 xml:space="preserve">Срок льготного фондирования до 3 лет. 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Подробнее с программой можно ознакомиться на сайте АО «Корпорация «МСП»</w:t>
      </w:r>
      <w:r>
        <w:rPr>
          <w:rFonts w:cs="Times New Roman"/>
          <w:szCs w:val="19"/>
          <w:vertAlign w:val="superscript"/>
        </w:rPr>
        <w:t xml:space="preserve"> </w:t>
      </w:r>
      <w:r>
        <w:rPr>
          <w:rFonts w:cs="Times New Roman"/>
          <w:szCs w:val="19"/>
        </w:rPr>
        <w:t>в разделе Банкам и кредитным организациям/Программа стимулирования кредитования субъектов МСП.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3. Программа льготного кредитования  для субъектов МСП (далее - Программа 8,5).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Программа 8,5 предусматривает предоставление кредитов по льготной ставке не более 8,5% годовых предприятиям самых различных отраслей, в том числе сельское хозяйство и обрабатывающее производство.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Малый и средний бизнес может, получить льготный кредит на инвестиционные цели, до 1 млрд. рублей на срок до 10 лет и на пополнение оборотных средств - до 100 млн. на срок до 3 лет.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Требования, к заемщику установлены в пункте 20 «Правил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ставке, утвержденных постановлением Правительства Российской Федерации от 30 декабря 2018 г. № 1764.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Подробнее с Программой 8,5 можно ознакомиться на сайте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Минэкономразвития России в разделе Деятельность/Направления/Малый и средний бизнес.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Министерство просит обеспечить опубликование вышеуказанной информации о действующих мерах государственной поддержки официальном сайте возглавляемого Вами муниципального образования в сети Интернет и обеспечить доведение информации до субъектов МСП.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В связи с вышеизложенным, Министерство просит: направить ответ о проделанной работе по информированию субъектов МСП в срок до 6 мая 2019 года;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ежеквартально в срок до 5 числа месяца, следующего за отчетным периодом, направлять информацию о субъектах МСП, заинтересованных в получении указанных видах поддержки по электронной почте:</w:t>
      </w:r>
      <w:r>
        <w:rPr>
          <w:rFonts w:cs="Times New Roman"/>
          <w:szCs w:val="19"/>
          <w:lang w:val="en-US"/>
        </w:rPr>
        <w:t>komek</w:t>
      </w:r>
      <w:r>
        <w:rPr>
          <w:rFonts w:cs="Times New Roman"/>
          <w:szCs w:val="19"/>
        </w:rPr>
        <w:t>@</w:t>
      </w:r>
      <w:r>
        <w:rPr>
          <w:rFonts w:cs="Times New Roman"/>
          <w:szCs w:val="19"/>
          <w:lang w:val="en-US"/>
        </w:rPr>
        <w:t>yandex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ru</w:t>
      </w:r>
      <w:r>
        <w:rPr>
          <w:rFonts w:cs="Times New Roman"/>
          <w:szCs w:val="19"/>
        </w:rPr>
        <w:t>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 xml:space="preserve">Для получения консультаций об указанных мерах финансовой поддержки необходимо обратиться в Фонд (г.Тверь, б-р Радищева, д. 316, 2 этаж, контактный телефон: 8 (4822) 78-78-58, сайт </w:t>
      </w:r>
      <w:r>
        <w:rPr>
          <w:rFonts w:cs="Times New Roman"/>
          <w:szCs w:val="19"/>
          <w:lang w:val="en-US"/>
        </w:rPr>
        <w:t>www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fondtver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ru</w:t>
      </w:r>
      <w:r>
        <w:rPr>
          <w:rFonts w:cs="Times New Roman"/>
          <w:szCs w:val="19"/>
        </w:rPr>
        <w:t>).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Контактные лица в Фонде содействия кредитованию малого и среднего предпринимательства Тверской области: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- Гусев Никита Андреевич, генеральной директор Фонда содействия кредитованию малого и среднего предпринимательства Тверской области, контактные телефоны: 8 (4822) 78-78-58, 8 (920) 195-60-21, е-</w:t>
      </w:r>
      <w:r>
        <w:rPr>
          <w:rFonts w:cs="Times New Roman"/>
          <w:szCs w:val="19"/>
          <w:lang w:val="en-US"/>
        </w:rPr>
        <w:t>mail</w:t>
      </w:r>
      <w:r>
        <w:rPr>
          <w:rFonts w:cs="Times New Roman"/>
          <w:szCs w:val="19"/>
        </w:rPr>
        <w:t xml:space="preserve">: </w:t>
      </w:r>
      <w:r>
        <w:rPr>
          <w:rFonts w:cs="Times New Roman"/>
          <w:szCs w:val="19"/>
          <w:lang w:val="en-US"/>
        </w:rPr>
        <w:t>cpp</w:t>
      </w:r>
      <w:r>
        <w:rPr>
          <w:rFonts w:cs="Times New Roman"/>
          <w:szCs w:val="19"/>
        </w:rPr>
        <w:t>@</w:t>
      </w:r>
      <w:r>
        <w:rPr>
          <w:rFonts w:cs="Times New Roman"/>
          <w:szCs w:val="19"/>
          <w:lang w:val="en-US"/>
        </w:rPr>
        <w:t>fond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tver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ru</w:t>
      </w:r>
      <w:r>
        <w:rPr>
          <w:rFonts w:cs="Times New Roman"/>
          <w:szCs w:val="19"/>
        </w:rPr>
        <w:t>;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>- Салюков Ян Александрович, первый заместитель генерального директора Фонда содействия кредитованию малого и среднего предпринимательства Тверской области, контактные телефоны:8 (4822) 78- 78-58,8 (980) 621-73-03,е-</w:t>
      </w:r>
      <w:r>
        <w:rPr>
          <w:rFonts w:cs="Times New Roman"/>
          <w:szCs w:val="19"/>
          <w:lang w:val="en-US"/>
        </w:rPr>
        <w:t>mail</w:t>
      </w:r>
      <w:r>
        <w:rPr>
          <w:rFonts w:cs="Times New Roman"/>
          <w:szCs w:val="19"/>
        </w:rPr>
        <w:t xml:space="preserve">: </w:t>
      </w:r>
      <w:r>
        <w:rPr>
          <w:rFonts w:cs="Times New Roman"/>
          <w:szCs w:val="19"/>
          <w:lang w:val="en-US"/>
        </w:rPr>
        <w:t>salyukov</w:t>
      </w:r>
      <w:r>
        <w:rPr>
          <w:rFonts w:cs="Times New Roman"/>
          <w:szCs w:val="19"/>
        </w:rPr>
        <w:t>_</w:t>
      </w:r>
      <w:r>
        <w:rPr>
          <w:rFonts w:cs="Times New Roman"/>
          <w:szCs w:val="19"/>
          <w:lang w:val="en-US"/>
        </w:rPr>
        <w:t>y</w:t>
      </w:r>
      <w:r>
        <w:rPr>
          <w:rFonts w:cs="Times New Roman"/>
          <w:szCs w:val="19"/>
        </w:rPr>
        <w:t>@</w:t>
      </w:r>
      <w:r>
        <w:rPr>
          <w:rFonts w:cs="Times New Roman"/>
          <w:szCs w:val="19"/>
          <w:lang w:val="en-US"/>
        </w:rPr>
        <w:t>fondtver</w:t>
      </w:r>
      <w:r>
        <w:rPr>
          <w:rFonts w:cs="Times New Roman"/>
          <w:szCs w:val="19"/>
        </w:rPr>
        <w:t>.</w:t>
      </w:r>
      <w:r>
        <w:rPr>
          <w:rFonts w:cs="Times New Roman"/>
          <w:szCs w:val="19"/>
          <w:lang w:val="en-US"/>
        </w:rPr>
        <w:t>ru</w:t>
      </w:r>
      <w:r>
        <w:rPr>
          <w:rFonts w:cs="Times New Roman"/>
          <w:szCs w:val="19"/>
        </w:rPr>
        <w:t>.</w:t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</w:r>
    </w:p>
    <w:p>
      <w:pPr>
        <w:pStyle w:val="NoSpacing"/>
        <w:ind w:left="284" w:firstLine="460"/>
        <w:rPr>
          <w:rFonts w:cs="Times New Roman"/>
          <w:szCs w:val="19"/>
        </w:rPr>
      </w:pPr>
      <w:r>
        <w:rPr>
          <w:rFonts w:cs="Times New Roman"/>
          <w:szCs w:val="19"/>
        </w:rPr>
        <w:tab/>
      </w:r>
    </w:p>
    <w:p>
      <w:pPr>
        <w:pStyle w:val="Bodytext21"/>
        <w:shd w:val="clear" w:color="auto" w:fill="auto"/>
        <w:spacing w:before="0" w:after="0"/>
        <w:ind w:left="180" w:firstLine="46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21"/>
        <w:shd w:val="clear" w:color="auto" w:fill="auto"/>
        <w:spacing w:before="0" w:after="0"/>
        <w:ind w:left="180" w:firstLine="46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21"/>
        <w:shd w:val="clear" w:color="auto" w:fill="auto"/>
        <w:spacing w:before="0" w:after="0"/>
        <w:ind w:left="180" w:firstLine="460"/>
        <w:rPr/>
      </w:pPr>
      <w:r>
        <w:rPr/>
      </w:r>
    </w:p>
    <w:sectPr>
      <w:type w:val="nextPage"/>
      <w:pgSz w:w="6591" w:h="9640"/>
      <w:pgMar w:left="53" w:right="242" w:header="0" w:top="167" w:footer="0" w:bottom="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10"/>
  <w:defaultTabStop w:val="708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04a2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7104a2"/>
    <w:rPr>
      <w:color w:val="0066CC"/>
      <w:u w:val="single"/>
    </w:rPr>
  </w:style>
  <w:style w:type="character" w:styleId="Bodytext4Exact" w:customStyle="1">
    <w:name w:val="Body text (4) Exact"/>
    <w:basedOn w:val="DefaultParagraphFont"/>
    <w:link w:val="Bodytext4"/>
    <w:qFormat/>
    <w:rsid w:val="007104a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Bodytext485ptExact" w:customStyle="1">
    <w:name w:val="Body text (4) + 8.5 pt Exact"/>
    <w:basedOn w:val="Bodytext4Exact"/>
    <w:qFormat/>
    <w:rsid w:val="007104a2"/>
    <w:rPr>
      <w:color w:val="000000"/>
      <w:spacing w:val="0"/>
      <w:w w:val="100"/>
      <w:sz w:val="17"/>
      <w:szCs w:val="17"/>
      <w:lang w:val="ru-RU" w:eastAsia="ru-RU" w:bidi="ru-RU"/>
    </w:rPr>
  </w:style>
  <w:style w:type="character" w:styleId="Bodytext46ptExact" w:customStyle="1">
    <w:name w:val="Body text (4) + 6 pt Exact"/>
    <w:basedOn w:val="Bodytext4Exact"/>
    <w:qFormat/>
    <w:rsid w:val="007104a2"/>
    <w:rPr>
      <w:color w:val="000000"/>
      <w:spacing w:val="0"/>
      <w:w w:val="100"/>
      <w:sz w:val="12"/>
      <w:szCs w:val="12"/>
      <w:u w:val="single"/>
      <w:lang w:val="ru-RU" w:eastAsia="ru-RU" w:bidi="ru-RU"/>
    </w:rPr>
  </w:style>
  <w:style w:type="character" w:styleId="Bodytext465ptExact" w:customStyle="1">
    <w:name w:val="Body text (4) + 6.5 pt Exact"/>
    <w:basedOn w:val="Bodytext4Exact"/>
    <w:qFormat/>
    <w:rsid w:val="007104a2"/>
    <w:rPr>
      <w:color w:val="000000"/>
      <w:spacing w:val="0"/>
      <w:w w:val="100"/>
      <w:sz w:val="13"/>
      <w:szCs w:val="13"/>
      <w:u w:val="single"/>
      <w:lang w:val="ru-RU" w:eastAsia="ru-RU" w:bidi="ru-RU"/>
    </w:rPr>
  </w:style>
  <w:style w:type="character" w:styleId="Bodytext4Spacing3ptExact" w:customStyle="1">
    <w:name w:val="Body text (4) + Spacing 3 pt Exact"/>
    <w:basedOn w:val="Bodytext4Exact"/>
    <w:qFormat/>
    <w:rsid w:val="007104a2"/>
    <w:rPr>
      <w:color w:val="000000"/>
      <w:spacing w:val="70"/>
      <w:w w:val="100"/>
      <w:lang w:val="ru-RU" w:eastAsia="ru-RU" w:bidi="ru-RU"/>
    </w:rPr>
  </w:style>
  <w:style w:type="character" w:styleId="Bodytext3" w:customStyle="1">
    <w:name w:val="Body text (3)_"/>
    <w:basedOn w:val="DefaultParagraphFont"/>
    <w:link w:val="Bodytext30"/>
    <w:qFormat/>
    <w:rsid w:val="007104a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Heading1" w:customStyle="1">
    <w:name w:val="Heading #1_"/>
    <w:basedOn w:val="DefaultParagraphFont"/>
    <w:link w:val="Heading10"/>
    <w:qFormat/>
    <w:rsid w:val="007104a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1"/>
      <w:szCs w:val="21"/>
      <w:u w:val="none"/>
    </w:rPr>
  </w:style>
  <w:style w:type="character" w:styleId="Heading112ptBoldItalicSpacing0pt" w:customStyle="1">
    <w:name w:val="Heading #1 + 12 pt;Bold;Italic;Spacing 0 pt"/>
    <w:basedOn w:val="Heading1"/>
    <w:qFormat/>
    <w:rsid w:val="007104a2"/>
    <w:rPr>
      <w:b/>
      <w:bCs/>
      <w:i/>
      <w:iCs/>
      <w:color w:val="000000"/>
      <w:spacing w:val="0"/>
      <w:w w:val="100"/>
      <w:sz w:val="24"/>
      <w:szCs w:val="24"/>
      <w:lang w:val="ru-RU" w:eastAsia="ru-RU" w:bidi="ru-RU"/>
    </w:rPr>
  </w:style>
  <w:style w:type="character" w:styleId="Bodytext2" w:customStyle="1">
    <w:name w:val="Body text (2)_"/>
    <w:basedOn w:val="DefaultParagraphFont"/>
    <w:link w:val="Bodytext20"/>
    <w:qFormat/>
    <w:rsid w:val="007104a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Bodytext2Georgia8pt" w:customStyle="1">
    <w:name w:val="Body text (2) + Georgia;8 pt"/>
    <w:basedOn w:val="Bodytext2"/>
    <w:qFormat/>
    <w:rsid w:val="007104a2"/>
    <w:rPr>
      <w:rFonts w:ascii="Georgia" w:hAnsi="Georgia" w:eastAsia="Georgia" w:cs="Georgia"/>
      <w:color w:val="000000"/>
      <w:spacing w:val="0"/>
      <w:w w:val="100"/>
      <w:sz w:val="16"/>
      <w:szCs w:val="16"/>
      <w:lang w:val="ru-RU" w:eastAsia="ru-RU" w:bidi="ru-RU"/>
    </w:rPr>
  </w:style>
  <w:style w:type="character" w:styleId="Bodytext24ptItalic" w:customStyle="1">
    <w:name w:val="Body text (2) + 4 pt;Italic"/>
    <w:basedOn w:val="Bodytext2"/>
    <w:qFormat/>
    <w:rsid w:val="007104a2"/>
    <w:rPr>
      <w:i/>
      <w:iCs/>
      <w:color w:val="000000"/>
      <w:spacing w:val="0"/>
      <w:w w:val="100"/>
      <w:sz w:val="8"/>
      <w:szCs w:val="8"/>
      <w:lang w:val="ru-RU" w:eastAsia="ru-RU" w:bidi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4" w:customStyle="1">
    <w:name w:val="Body text (4)"/>
    <w:basedOn w:val="Normal"/>
    <w:link w:val="Bodytext4Exact"/>
    <w:qFormat/>
    <w:rsid w:val="007104a2"/>
    <w:pPr>
      <w:shd w:val="clear" w:color="auto" w:fill="FFFFFF"/>
      <w:spacing w:lineRule="exact" w:line="185"/>
    </w:pPr>
    <w:rPr>
      <w:rFonts w:ascii="Times New Roman" w:hAnsi="Times New Roman" w:eastAsia="Times New Roman" w:cs="Times New Roman"/>
      <w:sz w:val="15"/>
      <w:szCs w:val="15"/>
    </w:rPr>
  </w:style>
  <w:style w:type="paragraph" w:styleId="Bodytext31" w:customStyle="1">
    <w:name w:val="Body text (3)"/>
    <w:basedOn w:val="Normal"/>
    <w:link w:val="Bodytext3"/>
    <w:qFormat/>
    <w:rsid w:val="007104a2"/>
    <w:pPr>
      <w:shd w:val="clear" w:color="auto" w:fill="FFFFFF"/>
      <w:spacing w:lineRule="exact" w:line="214" w:before="0" w:after="18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Heading11" w:customStyle="1">
    <w:name w:val="Heading #1"/>
    <w:basedOn w:val="Normal"/>
    <w:link w:val="Heading1"/>
    <w:qFormat/>
    <w:rsid w:val="007104a2"/>
    <w:pPr>
      <w:shd w:val="clear" w:color="auto" w:fill="FFFFFF"/>
      <w:spacing w:lineRule="auto" w:before="420" w:after="540"/>
      <w:jc w:val="both"/>
      <w:outlineLvl w:val="0"/>
    </w:pPr>
    <w:rPr>
      <w:rFonts w:ascii="Times New Roman" w:hAnsi="Times New Roman" w:eastAsia="Times New Roman" w:cs="Times New Roman"/>
      <w:spacing w:val="-10"/>
      <w:sz w:val="21"/>
      <w:szCs w:val="21"/>
    </w:rPr>
  </w:style>
  <w:style w:type="paragraph" w:styleId="Bodytext21" w:customStyle="1">
    <w:name w:val="Body text (2)"/>
    <w:basedOn w:val="Normal"/>
    <w:link w:val="Bodytext2"/>
    <w:qFormat/>
    <w:rsid w:val="007104a2"/>
    <w:pPr>
      <w:shd w:val="clear" w:color="auto" w:fill="FFFFFF"/>
      <w:spacing w:lineRule="exact" w:line="202" w:before="540" w:after="0"/>
      <w:jc w:val="both"/>
    </w:pPr>
    <w:rPr>
      <w:rFonts w:ascii="Times New Roman" w:hAnsi="Times New Roman" w:eastAsia="Times New Roman" w:cs="Times New Roman"/>
      <w:sz w:val="17"/>
      <w:szCs w:val="17"/>
    </w:rPr>
  </w:style>
  <w:style w:type="paragraph" w:styleId="NoSpacing">
    <w:name w:val="No Spacing"/>
    <w:uiPriority w:val="1"/>
    <w:qFormat/>
    <w:rsid w:val="00cd43a9"/>
    <w:pPr>
      <w:widowControl/>
      <w:bidi w:val="0"/>
      <w:jc w:val="both"/>
    </w:pPr>
    <w:rPr>
      <w:rFonts w:ascii="Times New Roman" w:hAnsi="Times New Roman" w:eastAsia="Arial Unicode MS" w:cs="Arial Unicode MS"/>
      <w:color w:val="000000"/>
      <w:kern w:val="0"/>
      <w:sz w:val="19"/>
      <w:szCs w:val="24"/>
      <w:lang w:val="ru-RU" w:eastAsia="ru-RU" w:bidi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LibreOffice/5.4.1.2$Windows_x86 LibreOffice_project/ea7cb86e6eeb2bf3a5af73a8f7777ac570321527</Application>
  <Pages>3</Pages>
  <Words>664</Words>
  <Characters>4607</Characters>
  <CharactersWithSpaces>5247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2019-04-23T13:56:00Z</dcterms:created>
  <dc:creator>Специалист</dc:creator>
  <dc:description/>
  <dc:language>ru-RU</dc:language>
  <cp:lastModifiedBy/>
  <dcterms:modified xsi:type="dcterms:W3CDTF">2019-04-26T14:47:20Z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